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2017/98 vom 9. September 2019</w:t>
      </w:r>
    </w:p>
    <w:p>
      <w:r>
        <w:t>Sg Versicherungsgericht, 2019-09-09, DE</w:t>
      </w:r>
    </w:p>
    <w:p>
      <w:r>
        <w:rPr>
          <w:b/>
        </w:rPr>
        <w:t xml:space="preserve">Quelle: </w:t>
      </w:r>
      <w:r>
        <w:t>https://mcp.opencaselaw.ch/entscheid/sg_publikationen_UV 2017_98</w:t>
      </w:r>
    </w:p>
    <w:p>
      <w:r>
        <w:t>FR: SG_VERSICHERUNGSGERICHT UV 2017/98 du 9 septembre 2019</w:t>
      </w:r>
    </w:p>
    <w:p>
      <w:r>
        <w:t>IT: SG_VERSICHERUNGSGERICHT UV 2017/98 del 9 settembre 2019</w:t>
      </w:r>
    </w:p>
    <w:p>
      <w:pPr>
        <w:pStyle w:val="Heading2"/>
      </w:pPr>
      <w:r>
        <w:t>Regeste</w:t>
      </w:r>
    </w:p>
    <w:p>
      <w:r>
        <w:t>Art. 18 UVG. Art. 24 UVG. Art. 39 UVG. Art. 50 UVV. Wagnis verneint bei Befahren eines Kieshügels mit einem Motorrad auf einem privaten Umschlagplatz einer Baufirma. Würdigung medizinischer Berichte. Verneinung eines Rentenanspruchs und Bestätigung der zugesprochenen Integritätsentschädigung. Abweisung der Beschwerde (Entscheid des Versicherungsgerichts des Kantons St. Gallen vom 9. September 2019, UV 2017/98).</w:t>
      </w:r>
    </w:p>
    <w:p>
      <w:pPr>
        <w:pStyle w:val="Heading2"/>
      </w:pPr>
      <w:r>
        <w:t>Erwägungen</w:t>
      </w:r>
    </w:p>
    <w:p>
      <w:r>
        <w:rPr>
          <w:b/>
        </w:rPr>
        <w:t>E. 6</w:t>
      </w:r>
    </w:p>
    <w:p>
      <w:r>
        <w:t>Basierend auf einer Arbeitsfähigkeit von 100% in einer adaptierten Tätigkeit ist im Rahmen eines Einkommensvergleichs der Invaliditätsgrad zu ermitteln.</w:t>
      </w:r>
    </w:p>
    <w:p>
      <w:r>
        <w:rPr>
          <w:b/>
        </w:rPr>
        <w:t>E. 6.1</w:t>
      </w:r>
    </w:p>
    <w:p>
      <w:r>
        <w:t>Der Beschwerdeführer hat in seinem Heimatland den Beruf des Schreiners erlernt, war in der Schweiz aber nie als solcher tätig. Er bezog zum Zeitpunkt des Unfalls vom 25. Mai 2008 Arbeitslosentaggelder (Suva-act. 2) und war zuvor zuletzt als Maschinenbediener und Staplerfahrer tätig (vgl. Suva-act. 13). Er ist damit als Hilfsarbeiter einzustufen. Es ist ihm deshalb ohne weiteres zumutbar, im Ausmass seiner verbliebenen Arbeitsfähigkeit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des Beschwerdeführers also nur die Arbeitsunfähigkeit in einer behinderungsadaptierten Hilfsarbeit gemeint sein (vgl. Urteil des Versicherungsgerichts vom 17. August 2012, IV 2010/400 E. 1.1). Es rechtfertigt sich damit, sowohl das Invalideneinkommen als auch das Valideneinkommen gestützt auf die LSE, Total sämtlicher Wirtschaftszweige, Kompetenzniveau 1, Männer, zu bestimmen.</w:t>
      </w:r>
    </w:p>
    <w:p>
      <w:r>
        <w:rPr>
          <w:b/>
        </w:rPr>
        <w:t>E. 6.2</w:t>
      </w:r>
    </w:p>
    <w:p>
      <w:r>
        <w:t>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M.___-Gutachter festhielten, hat der Beschwerdeführer nur geringe qualitative Einschränkungen. Es sind ihm alle wechselbelastenden Tätigkeiten ohne Tragen von Lasten über 20kg zumutbar (Suva-act. 308-69). Er ist im Vergleich zu voll leistungsfähigen Arbeitnehmern damit lohnmässig nur geringfügig benachteiligt und muss mit höchstens leicht unterdurchschnittlichen Lohnansätzen rechnen (vgl. zum Ganzen Philipp Geertsen, Der Tabellenlohnabzug, in Ueli Kieser/Miriam Lendfers [Hrsg.]: Jahrbuch zum Sozialversicherungsrecht 2012, S. 139 ff.; Urteil des Bundesgerichts vom 28. Januar 2014, 9C_796/2013, E 3.1.2). Es rechtfertigt sich damit, den Tabellenlohnabzug auf 5% festzusetzen. Für einen weitergehenden Abzug - wie vom Beschwerdeführer beantragt (act. G3) - besteht keine Grundlage.</w:t>
      </w:r>
    </w:p>
    <w:p>
      <w:r>
        <w:rPr>
          <w:b/>
        </w:rPr>
        <w:t>E. 6.3</w:t>
      </w:r>
    </w:p>
    <w:p>
      <w:r>
        <w:t>Ausgehend von einer 100%igen Arbeitsfähigkeit für adaptierte Tätigkeiten und unter Berücksichtigung eines 5%igen Tabellenlohnabzugs resultiert im Rahmen eines Prozentvergleichs ein nicht rentenbegründender Invaliditätsgrad von 5%.</w:t>
      </w:r>
    </w:p>
    <w:p>
      <w:r>
        <w:rPr>
          <w:b/>
        </w:rPr>
        <w:t>E. 7</w:t>
      </w:r>
    </w:p>
    <w:p>
      <w:r>
        <w:t>Weiter ist der Anspruch des Beschwerdeführers auf eine Integritätsentschädigung zu beurteilen. Die Beschwerdegegnerin sprach dem Beschwerdeführer gestützt auf die Beurteilungen der M.___-Gutachter und Dr. P.___ eine solche basierend auf einem Integritätsschaden von 15% zu (Suva-act. 308-69 f., 339, 347, 350).</w:t>
      </w:r>
    </w:p>
    <w:p>
      <w:r>
        <w:rPr>
          <w:b/>
        </w:rPr>
        <w:t>E. 7.1</w:t>
      </w:r>
    </w:p>
    <w:p>
      <w:r>
        <w:t>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w:t>
      </w:r>
    </w:p>
    <w:p>
      <w:r>
        <w:rPr>
          <w:b/>
        </w:rPr>
        <w:t>E. 7.2</w:t>
      </w:r>
    </w:p>
    <w:p>
      <w:r>
        <w:t>Die M.___-Gutachter erachteten aufgrund der Beschwerden an der Wirbelsäule ein Integritätsschaden von 15-20% als gegeben (Suva-act. 308-69). Dr. P.___ präzisierte, es liege aufgrund der Wirbelsäulenaffektion ein Integritätsschaden von 15% vor (Suva-act. 347). Der Beschwerdeführer beanstandet diese Beurteilungen nicht grundsätzlich, hält aber einen zusätzlichen Anspruch auf eine Integritätsentschädigung aufgrund der Beeinträchtigung seines linken Handgelenks für gegeben. Er stützt sich dabei auf das nicht beweiskräftige Gutachten K.___ (act. G3). Diese Gutachter hatten befunden, die Schädigung sei vergleichbar mit einer wenig bis mässig ausgeprägten Handgelenksarthrose, womit ein Integritätsschaden von 5-10% bestehe (Suva-act. 270-20). Wie die M.___-Gutachter jedoch plausibel ausführten, besteht beim Beschwerdeführer keine Beeinträchtigung, für welche die Suva Tabelle 1 "Integritätsschaden bei Funktionsstörungen an den oberen Extremitäten" eine Integritätsentschädigung vorsehen würde (Aufhebung der Pro- und/oder Supination des Vorderarms, Steifheit bei gewissen Bewegungen der Hand, radiocarpale Arthrodese, Handwurzelarthrodese; abrufbar unter https://www.suva.ch/de-CH/material/Dokumentationen/tabelle-01-integritaetsschaden-bei-funktionsstoerungen-an-den-oberen-extremitaeten, abgerufen am 9. September 2019).</w:t>
      </w:r>
    </w:p>
    <w:p>
      <w:r>
        <w:rPr>
          <w:b/>
        </w:rPr>
        <w:t>E. 7.3</w:t>
      </w:r>
    </w:p>
    <w:p>
      <w:r>
        <w:t>Zusammenfassend besteht entsprechend der Schätzung von Dr. P.___ ein Integritätsschaden von 15%.</w:t>
      </w:r>
    </w:p>
    <w:p>
      <w:r>
        <w:rPr>
          <w:b/>
        </w:rPr>
        <w:t>E. 8.1</w:t>
      </w:r>
    </w:p>
    <w:p>
      <w:r>
        <w:t>Nach dem Gesagten ist der angefochtene Einspracheentscheid vom 17. Oktober 2017 nicht zu beanstanden und die Beschwerde ist abzuweisen.</w:t>
      </w:r>
    </w:p>
    <w:p>
      <w:r>
        <w:rPr>
          <w:b/>
        </w:rPr>
        <w:t>E. 8.2</w:t>
      </w:r>
    </w:p>
    <w:p>
      <w:r>
        <w:t>Gerichtskosten sind keine zu erheben (Art. 61 lit. a ATSG).</w:t>
      </w:r>
    </w:p>
    <w:p>
      <w:r>
        <w:rPr>
          <w:b/>
        </w:rPr>
        <w:t>E. 8.3</w:t>
      </w:r>
    </w:p>
    <w:p>
      <w:r>
        <w:t>Ausgangsgemäss hat der Beschwerdeführer keinen Anspruch auf eine Parteientschädigung.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